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98" w:rsidRPr="00020C98" w:rsidRDefault="00020C98" w:rsidP="003C6DF9">
      <w:pPr>
        <w:pStyle w:val="ListParagraph"/>
        <w:numPr>
          <w:ilvl w:val="0"/>
          <w:numId w:val="1"/>
        </w:numPr>
        <w:tabs>
          <w:tab w:val="left" w:pos="695"/>
        </w:tabs>
        <w:spacing w:before="240"/>
        <w:ind w:left="363" w:hanging="363"/>
        <w:jc w:val="both"/>
      </w:pPr>
      <w:bookmarkStart w:id="0" w:name="_GoBack"/>
      <w:bookmarkEnd w:id="0"/>
      <w:r>
        <w:t xml:space="preserve">The Queensland Government has committed to implementing the child and family reforms recommended by the Queensland Child Protection Commission of Inquiry (QCPCOI) in its 2013 final report </w:t>
      </w:r>
      <w:r w:rsidRPr="00020C98">
        <w:rPr>
          <w:i/>
        </w:rPr>
        <w:t>Taking Responsibility: A Roadmap for Queensland Child Protection</w:t>
      </w:r>
      <w:r>
        <w:t>. The reforms are being delivered as part of the Supporting Families Changing Futures reform program released in April 2016.</w:t>
      </w:r>
    </w:p>
    <w:p w:rsidR="003637A2" w:rsidRDefault="0074088F" w:rsidP="003C6DF9">
      <w:pPr>
        <w:pStyle w:val="ListParagraph"/>
        <w:numPr>
          <w:ilvl w:val="0"/>
          <w:numId w:val="1"/>
        </w:numPr>
        <w:tabs>
          <w:tab w:val="left" w:pos="695"/>
        </w:tabs>
        <w:spacing w:before="240"/>
        <w:ind w:left="363" w:hanging="363"/>
        <w:jc w:val="both"/>
      </w:pPr>
      <w:r w:rsidRPr="0074088F">
        <w:rPr>
          <w:spacing w:val="-3"/>
        </w:rPr>
        <w:t xml:space="preserve">The review of the </w:t>
      </w:r>
      <w:r w:rsidRPr="0074088F">
        <w:rPr>
          <w:i/>
          <w:spacing w:val="-3"/>
        </w:rPr>
        <w:t>Child Protection Act 1999</w:t>
      </w:r>
      <w:r w:rsidRPr="0074088F">
        <w:rPr>
          <w:spacing w:val="-3"/>
        </w:rPr>
        <w:t xml:space="preserve"> (the Act), was a recommendation of the </w:t>
      </w:r>
      <w:r w:rsidR="003C6DF9">
        <w:t>QCPCOI</w:t>
      </w:r>
      <w:r>
        <w:rPr>
          <w:spacing w:val="-3"/>
        </w:rPr>
        <w:t>. The review identified priority reforms</w:t>
      </w:r>
      <w:r w:rsidR="00020C98">
        <w:rPr>
          <w:spacing w:val="-3"/>
        </w:rPr>
        <w:t>.</w:t>
      </w:r>
      <w:r>
        <w:rPr>
          <w:spacing w:val="-3"/>
        </w:rPr>
        <w:t xml:space="preserve"> </w:t>
      </w:r>
    </w:p>
    <w:p w:rsidR="003637A2" w:rsidRDefault="00020C98" w:rsidP="003C6DF9">
      <w:pPr>
        <w:pStyle w:val="ListParagraph"/>
        <w:numPr>
          <w:ilvl w:val="0"/>
          <w:numId w:val="1"/>
        </w:numPr>
        <w:tabs>
          <w:tab w:val="left" w:pos="694"/>
        </w:tabs>
        <w:spacing w:before="240"/>
        <w:ind w:left="363" w:hanging="363"/>
        <w:jc w:val="both"/>
      </w:pPr>
      <w:r>
        <w:t xml:space="preserve">The </w:t>
      </w:r>
      <w:r>
        <w:rPr>
          <w:spacing w:val="-3"/>
        </w:rPr>
        <w:t xml:space="preserve">Child Protection Reform Amendment Bill 2017 implements stage one priority </w:t>
      </w:r>
      <w:r>
        <w:rPr>
          <w:spacing w:val="-4"/>
        </w:rPr>
        <w:t xml:space="preserve">amendments </w:t>
      </w:r>
      <w:r>
        <w:t xml:space="preserve">to </w:t>
      </w:r>
      <w:r>
        <w:rPr>
          <w:spacing w:val="-3"/>
        </w:rPr>
        <w:t xml:space="preserve">the Act </w:t>
      </w:r>
      <w:r>
        <w:t xml:space="preserve">to </w:t>
      </w:r>
      <w:r>
        <w:rPr>
          <w:spacing w:val="-3"/>
        </w:rPr>
        <w:t>provide</w:t>
      </w:r>
      <w:r>
        <w:rPr>
          <w:spacing w:val="-22"/>
        </w:rPr>
        <w:t xml:space="preserve"> </w:t>
      </w:r>
      <w:r>
        <w:rPr>
          <w:spacing w:val="-3"/>
        </w:rPr>
        <w:t>for:</w:t>
      </w:r>
    </w:p>
    <w:p w:rsidR="003637A2" w:rsidRDefault="00020C98" w:rsidP="003C6DF9">
      <w:pPr>
        <w:pStyle w:val="ListParagraph"/>
        <w:numPr>
          <w:ilvl w:val="1"/>
          <w:numId w:val="1"/>
        </w:numPr>
        <w:tabs>
          <w:tab w:val="left" w:pos="1119"/>
          <w:tab w:val="left" w:pos="1121"/>
        </w:tabs>
        <w:spacing w:before="120" w:line="269" w:lineRule="exact"/>
        <w:ind w:left="927" w:hanging="360"/>
        <w:jc w:val="both"/>
      </w:pPr>
      <w:r>
        <w:t>a contemporary information sharing regime focused on children’s safety and</w:t>
      </w:r>
      <w:r>
        <w:rPr>
          <w:spacing w:val="-20"/>
        </w:rPr>
        <w:t xml:space="preserve"> </w:t>
      </w:r>
      <w:r>
        <w:t>wellbeing</w:t>
      </w:r>
    </w:p>
    <w:p w:rsidR="003637A2" w:rsidRDefault="00020C98" w:rsidP="003C6DF9">
      <w:pPr>
        <w:pStyle w:val="ListParagraph"/>
        <w:numPr>
          <w:ilvl w:val="1"/>
          <w:numId w:val="1"/>
        </w:numPr>
        <w:tabs>
          <w:tab w:val="left" w:pos="1119"/>
          <w:tab w:val="left" w:pos="1121"/>
        </w:tabs>
        <w:spacing w:before="120" w:line="269" w:lineRule="exact"/>
        <w:ind w:left="927" w:hanging="360"/>
        <w:jc w:val="both"/>
      </w:pPr>
      <w:r>
        <w:t>the safe care and connection of Aboriginal and Torres Strait Islander children with their families, communities and</w:t>
      </w:r>
      <w:r>
        <w:rPr>
          <w:spacing w:val="-8"/>
        </w:rPr>
        <w:t xml:space="preserve"> </w:t>
      </w:r>
      <w:r>
        <w:t>cultures</w:t>
      </w:r>
    </w:p>
    <w:p w:rsidR="003637A2" w:rsidRDefault="00020C98" w:rsidP="003C6DF9">
      <w:pPr>
        <w:pStyle w:val="ListParagraph"/>
        <w:numPr>
          <w:ilvl w:val="1"/>
          <w:numId w:val="1"/>
        </w:numPr>
        <w:tabs>
          <w:tab w:val="left" w:pos="1119"/>
          <w:tab w:val="left" w:pos="1121"/>
        </w:tabs>
        <w:spacing w:before="120" w:line="269" w:lineRule="exact"/>
        <w:ind w:left="927" w:hanging="360"/>
        <w:jc w:val="both"/>
      </w:pPr>
      <w:r>
        <w:t>permanency and stability for children in out-of-home care, now and throughout their lives, including after-care</w:t>
      </w:r>
      <w:r>
        <w:rPr>
          <w:spacing w:val="-9"/>
        </w:rPr>
        <w:t xml:space="preserve"> </w:t>
      </w:r>
      <w:r>
        <w:t>support.</w:t>
      </w:r>
    </w:p>
    <w:p w:rsidR="003637A2" w:rsidRDefault="00020C98" w:rsidP="003C6DF9">
      <w:pPr>
        <w:pStyle w:val="ListParagraph"/>
        <w:numPr>
          <w:ilvl w:val="0"/>
          <w:numId w:val="1"/>
        </w:numPr>
        <w:tabs>
          <w:tab w:val="left" w:pos="694"/>
        </w:tabs>
        <w:spacing w:before="240"/>
        <w:ind w:left="363" w:hanging="363"/>
        <w:jc w:val="both"/>
      </w:pPr>
      <w:r>
        <w:t>The</w:t>
      </w:r>
      <w:r>
        <w:rPr>
          <w:spacing w:val="-13"/>
        </w:rPr>
        <w:t xml:space="preserve"> </w:t>
      </w:r>
      <w:r>
        <w:rPr>
          <w:spacing w:val="-3"/>
        </w:rPr>
        <w:t>Bill</w:t>
      </w:r>
      <w:r>
        <w:rPr>
          <w:spacing w:val="-12"/>
        </w:rPr>
        <w:t xml:space="preserve"> </w:t>
      </w:r>
      <w:r>
        <w:rPr>
          <w:spacing w:val="-3"/>
        </w:rPr>
        <w:t>also</w:t>
      </w:r>
      <w:r>
        <w:rPr>
          <w:spacing w:val="-12"/>
        </w:rPr>
        <w:t xml:space="preserve"> </w:t>
      </w:r>
      <w:r>
        <w:rPr>
          <w:spacing w:val="-3"/>
        </w:rPr>
        <w:t>includes</w:t>
      </w:r>
      <w:r>
        <w:rPr>
          <w:spacing w:val="-13"/>
        </w:rPr>
        <w:t xml:space="preserve"> </w:t>
      </w:r>
      <w:r>
        <w:rPr>
          <w:spacing w:val="-3"/>
        </w:rPr>
        <w:t>other</w:t>
      </w:r>
      <w:r>
        <w:rPr>
          <w:spacing w:val="-12"/>
        </w:rPr>
        <w:t xml:space="preserve"> </w:t>
      </w:r>
      <w:r>
        <w:rPr>
          <w:spacing w:val="-3"/>
        </w:rPr>
        <w:t>amendments,</w:t>
      </w:r>
      <w:r>
        <w:rPr>
          <w:spacing w:val="-13"/>
        </w:rPr>
        <w:t xml:space="preserve"> </w:t>
      </w:r>
      <w:r>
        <w:rPr>
          <w:spacing w:val="-3"/>
        </w:rPr>
        <w:t>including</w:t>
      </w:r>
      <w:r>
        <w:rPr>
          <w:spacing w:val="-12"/>
        </w:rPr>
        <w:t xml:space="preserve"> </w:t>
      </w:r>
      <w:r>
        <w:rPr>
          <w:spacing w:val="-3"/>
        </w:rPr>
        <w:t>minor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>technical</w:t>
      </w:r>
      <w:r>
        <w:rPr>
          <w:spacing w:val="-13"/>
        </w:rPr>
        <w:t xml:space="preserve"> </w:t>
      </w:r>
      <w:r>
        <w:rPr>
          <w:spacing w:val="-4"/>
        </w:rPr>
        <w:t>amendments,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enable</w:t>
      </w:r>
      <w:r>
        <w:rPr>
          <w:spacing w:val="-12"/>
        </w:rPr>
        <w:t xml:space="preserve"> </w:t>
      </w:r>
      <w:r>
        <w:rPr>
          <w:spacing w:val="-3"/>
        </w:rPr>
        <w:t xml:space="preserve">the Act </w:t>
      </w:r>
      <w:r>
        <w:t xml:space="preserve">to </w:t>
      </w:r>
      <w:r>
        <w:rPr>
          <w:spacing w:val="-3"/>
        </w:rPr>
        <w:t xml:space="preserve">better reflect current </w:t>
      </w:r>
      <w:r>
        <w:rPr>
          <w:spacing w:val="-4"/>
        </w:rPr>
        <w:t xml:space="preserve">practice </w:t>
      </w:r>
      <w:r>
        <w:rPr>
          <w:spacing w:val="-3"/>
        </w:rPr>
        <w:t xml:space="preserve">and </w:t>
      </w:r>
      <w:r>
        <w:t xml:space="preserve">to </w:t>
      </w:r>
      <w:r>
        <w:rPr>
          <w:spacing w:val="-3"/>
        </w:rPr>
        <w:t xml:space="preserve">address </w:t>
      </w:r>
      <w:r>
        <w:rPr>
          <w:spacing w:val="-4"/>
        </w:rPr>
        <w:t>identified legislative</w:t>
      </w:r>
      <w:r>
        <w:rPr>
          <w:spacing w:val="-36"/>
        </w:rPr>
        <w:t xml:space="preserve"> </w:t>
      </w:r>
      <w:r>
        <w:rPr>
          <w:spacing w:val="-3"/>
        </w:rPr>
        <w:t>issues.</w:t>
      </w:r>
    </w:p>
    <w:p w:rsidR="003637A2" w:rsidRDefault="00020C98" w:rsidP="003C6DF9">
      <w:pPr>
        <w:pStyle w:val="ListParagraph"/>
        <w:numPr>
          <w:ilvl w:val="0"/>
          <w:numId w:val="1"/>
        </w:numPr>
        <w:tabs>
          <w:tab w:val="left" w:pos="695"/>
        </w:tabs>
        <w:spacing w:before="240"/>
        <w:ind w:left="363" w:hanging="363"/>
        <w:jc w:val="both"/>
      </w:pPr>
      <w:r>
        <w:rPr>
          <w:spacing w:val="-3"/>
          <w:u w:val="single"/>
        </w:rPr>
        <w:t>Cabinet approved</w:t>
      </w:r>
      <w:r w:rsidRPr="00627DE1">
        <w:rPr>
          <w:spacing w:val="-3"/>
        </w:rPr>
        <w:t xml:space="preserve"> </w:t>
      </w:r>
      <w:r>
        <w:t xml:space="preserve">the introduction of the </w:t>
      </w:r>
      <w:r>
        <w:rPr>
          <w:spacing w:val="-3"/>
        </w:rPr>
        <w:t xml:space="preserve">Child </w:t>
      </w:r>
      <w:r>
        <w:rPr>
          <w:spacing w:val="-4"/>
        </w:rPr>
        <w:t xml:space="preserve">Protection </w:t>
      </w:r>
      <w:r>
        <w:rPr>
          <w:spacing w:val="-3"/>
        </w:rPr>
        <w:t xml:space="preserve">Reform Amendment Bill 2017 </w:t>
      </w:r>
      <w:r>
        <w:t>into the Legislative</w:t>
      </w:r>
      <w:r>
        <w:rPr>
          <w:spacing w:val="-6"/>
        </w:rPr>
        <w:t xml:space="preserve"> </w:t>
      </w:r>
      <w:r>
        <w:t>Assembly.</w:t>
      </w:r>
    </w:p>
    <w:p w:rsidR="003637A2" w:rsidRPr="003C6DF9" w:rsidRDefault="00020C98" w:rsidP="003C6DF9">
      <w:pPr>
        <w:pStyle w:val="ListParagraph"/>
        <w:numPr>
          <w:ilvl w:val="0"/>
          <w:numId w:val="1"/>
        </w:numPr>
        <w:tabs>
          <w:tab w:val="left" w:pos="694"/>
        </w:tabs>
        <w:spacing w:before="360"/>
        <w:ind w:left="363" w:hanging="363"/>
        <w:jc w:val="both"/>
      </w:pPr>
      <w:r>
        <w:rPr>
          <w:i/>
          <w:u w:val="single"/>
        </w:rPr>
        <w:t>Attachments</w:t>
      </w:r>
    </w:p>
    <w:p w:rsidR="003637A2" w:rsidRDefault="00B9533C" w:rsidP="003C6DF9">
      <w:pPr>
        <w:pStyle w:val="ListParagraph"/>
        <w:numPr>
          <w:ilvl w:val="1"/>
          <w:numId w:val="1"/>
        </w:numPr>
        <w:tabs>
          <w:tab w:val="left" w:pos="1119"/>
        </w:tabs>
        <w:spacing w:before="120" w:line="269" w:lineRule="exact"/>
        <w:ind w:left="927" w:hanging="360"/>
        <w:jc w:val="both"/>
      </w:pPr>
      <w:hyperlink r:id="rId7" w:history="1">
        <w:r w:rsidR="00020C98" w:rsidRPr="006F1823">
          <w:rPr>
            <w:rStyle w:val="Hyperlink"/>
            <w:spacing w:val="-3"/>
          </w:rPr>
          <w:t xml:space="preserve">Child Protection Reform </w:t>
        </w:r>
        <w:r w:rsidR="00020C98" w:rsidRPr="006F1823">
          <w:rPr>
            <w:rStyle w:val="Hyperlink"/>
            <w:spacing w:val="-4"/>
          </w:rPr>
          <w:t xml:space="preserve">Amendment </w:t>
        </w:r>
        <w:r w:rsidR="00020C98" w:rsidRPr="006F1823">
          <w:rPr>
            <w:rStyle w:val="Hyperlink"/>
            <w:spacing w:val="-3"/>
          </w:rPr>
          <w:t>Bill</w:t>
        </w:r>
        <w:r w:rsidR="00020C98" w:rsidRPr="006F1823">
          <w:rPr>
            <w:rStyle w:val="Hyperlink"/>
            <w:spacing w:val="-9"/>
          </w:rPr>
          <w:t xml:space="preserve"> </w:t>
        </w:r>
        <w:r w:rsidR="00020C98" w:rsidRPr="006F1823">
          <w:rPr>
            <w:rStyle w:val="Hyperlink"/>
            <w:spacing w:val="-3"/>
          </w:rPr>
          <w:t>2017</w:t>
        </w:r>
      </w:hyperlink>
    </w:p>
    <w:p w:rsidR="003637A2" w:rsidRDefault="00B9533C" w:rsidP="003C6DF9">
      <w:pPr>
        <w:pStyle w:val="ListParagraph"/>
        <w:numPr>
          <w:ilvl w:val="1"/>
          <w:numId w:val="1"/>
        </w:numPr>
        <w:tabs>
          <w:tab w:val="left" w:pos="1119"/>
        </w:tabs>
        <w:spacing w:before="120" w:line="269" w:lineRule="exact"/>
        <w:ind w:left="927" w:hanging="360"/>
        <w:jc w:val="both"/>
      </w:pPr>
      <w:hyperlink r:id="rId8" w:history="1">
        <w:r w:rsidR="00020C98" w:rsidRPr="006F1823">
          <w:rPr>
            <w:rStyle w:val="Hyperlink"/>
            <w:spacing w:val="-4"/>
          </w:rPr>
          <w:t>Explanatory</w:t>
        </w:r>
        <w:r w:rsidR="00020C98" w:rsidRPr="006F1823">
          <w:rPr>
            <w:rStyle w:val="Hyperlink"/>
            <w:spacing w:val="-1"/>
          </w:rPr>
          <w:t xml:space="preserve"> </w:t>
        </w:r>
        <w:r w:rsidR="00020C98" w:rsidRPr="006F1823">
          <w:rPr>
            <w:rStyle w:val="Hyperlink"/>
            <w:spacing w:val="-4"/>
          </w:rPr>
          <w:t>Notes</w:t>
        </w:r>
      </w:hyperlink>
    </w:p>
    <w:sectPr w:rsidR="003637A2" w:rsidSect="00770000">
      <w:headerReference w:type="default" r:id="rId9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E7A" w:rsidRDefault="00E90E7A" w:rsidP="00770000">
      <w:r>
        <w:separator/>
      </w:r>
    </w:p>
  </w:endnote>
  <w:endnote w:type="continuationSeparator" w:id="0">
    <w:p w:rsidR="00E90E7A" w:rsidRDefault="00E90E7A" w:rsidP="0077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E7A" w:rsidRDefault="00E90E7A" w:rsidP="00770000">
      <w:r>
        <w:separator/>
      </w:r>
    </w:p>
  </w:footnote>
  <w:footnote w:type="continuationSeparator" w:id="0">
    <w:p w:rsidR="00E90E7A" w:rsidRDefault="00E90E7A" w:rsidP="0077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00" w:rsidRPr="00937A4A" w:rsidRDefault="00770000" w:rsidP="0077000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:rsidR="00770000" w:rsidRPr="00937A4A" w:rsidRDefault="00770000" w:rsidP="0077000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:rsidR="00770000" w:rsidRPr="00937A4A" w:rsidRDefault="00770000" w:rsidP="0077000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July 2017</w:t>
    </w:r>
  </w:p>
  <w:p w:rsidR="00770000" w:rsidRDefault="00770000" w:rsidP="00770000">
    <w:pPr>
      <w:pStyle w:val="Header"/>
      <w:spacing w:before="120"/>
      <w:rPr>
        <w:b/>
        <w:u w:val="single"/>
      </w:rPr>
    </w:pPr>
    <w:r>
      <w:rPr>
        <w:b/>
        <w:u w:val="single"/>
      </w:rPr>
      <w:t>Child Protection Reform Amendment Bill 2017</w:t>
    </w:r>
  </w:p>
  <w:p w:rsidR="00770000" w:rsidRDefault="00770000" w:rsidP="00770000">
    <w:pPr>
      <w:pStyle w:val="Header"/>
      <w:spacing w:before="120"/>
      <w:rPr>
        <w:b/>
        <w:u w:val="single"/>
      </w:rPr>
    </w:pPr>
    <w:r>
      <w:rPr>
        <w:b/>
        <w:u w:val="single"/>
      </w:rPr>
      <w:t>Minister for Communities, Women and Youth, Minister for Child Safety and Minister for the Prevention of Domestic and Family Violence</w:t>
    </w:r>
  </w:p>
  <w:p w:rsidR="00770000" w:rsidRDefault="00770000" w:rsidP="0077000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56CD"/>
    <w:multiLevelType w:val="hybridMultilevel"/>
    <w:tmpl w:val="A1188294"/>
    <w:lvl w:ilvl="0" w:tplc="E4A4E24C">
      <w:start w:val="1"/>
      <w:numFmt w:val="decimal"/>
      <w:lvlText w:val="%1."/>
      <w:lvlJc w:val="left"/>
      <w:pPr>
        <w:ind w:left="694" w:hanging="361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3C16618E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2" w:tplc="16D4260E">
      <w:numFmt w:val="bullet"/>
      <w:lvlText w:val="•"/>
      <w:lvlJc w:val="left"/>
      <w:pPr>
        <w:ind w:left="1140" w:hanging="361"/>
      </w:pPr>
      <w:rPr>
        <w:rFonts w:hint="default"/>
      </w:rPr>
    </w:lvl>
    <w:lvl w:ilvl="3" w:tplc="3722649E">
      <w:numFmt w:val="bullet"/>
      <w:lvlText w:val="•"/>
      <w:lvlJc w:val="left"/>
      <w:pPr>
        <w:ind w:left="2285" w:hanging="361"/>
      </w:pPr>
      <w:rPr>
        <w:rFonts w:hint="default"/>
      </w:rPr>
    </w:lvl>
    <w:lvl w:ilvl="4" w:tplc="786C3FD2">
      <w:numFmt w:val="bullet"/>
      <w:lvlText w:val="•"/>
      <w:lvlJc w:val="left"/>
      <w:pPr>
        <w:ind w:left="3431" w:hanging="361"/>
      </w:pPr>
      <w:rPr>
        <w:rFonts w:hint="default"/>
      </w:rPr>
    </w:lvl>
    <w:lvl w:ilvl="5" w:tplc="C8B66920">
      <w:numFmt w:val="bullet"/>
      <w:lvlText w:val="•"/>
      <w:lvlJc w:val="left"/>
      <w:pPr>
        <w:ind w:left="4576" w:hanging="361"/>
      </w:pPr>
      <w:rPr>
        <w:rFonts w:hint="default"/>
      </w:rPr>
    </w:lvl>
    <w:lvl w:ilvl="6" w:tplc="59BCEC12">
      <w:numFmt w:val="bullet"/>
      <w:lvlText w:val="•"/>
      <w:lvlJc w:val="left"/>
      <w:pPr>
        <w:ind w:left="5722" w:hanging="361"/>
      </w:pPr>
      <w:rPr>
        <w:rFonts w:hint="default"/>
      </w:rPr>
    </w:lvl>
    <w:lvl w:ilvl="7" w:tplc="19FAED18">
      <w:numFmt w:val="bullet"/>
      <w:lvlText w:val="•"/>
      <w:lvlJc w:val="left"/>
      <w:pPr>
        <w:ind w:left="6867" w:hanging="361"/>
      </w:pPr>
      <w:rPr>
        <w:rFonts w:hint="default"/>
      </w:rPr>
    </w:lvl>
    <w:lvl w:ilvl="8" w:tplc="715E8C88">
      <w:numFmt w:val="bullet"/>
      <w:lvlText w:val="•"/>
      <w:lvlJc w:val="left"/>
      <w:pPr>
        <w:ind w:left="801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A2"/>
    <w:rsid w:val="00020C98"/>
    <w:rsid w:val="003637A2"/>
    <w:rsid w:val="003C6DF9"/>
    <w:rsid w:val="00627DE1"/>
    <w:rsid w:val="006F1823"/>
    <w:rsid w:val="007128D4"/>
    <w:rsid w:val="0074088F"/>
    <w:rsid w:val="00770000"/>
    <w:rsid w:val="007A6788"/>
    <w:rsid w:val="007D1E0E"/>
    <w:rsid w:val="00815788"/>
    <w:rsid w:val="00B9533C"/>
    <w:rsid w:val="00BD6226"/>
    <w:rsid w:val="00C918DA"/>
    <w:rsid w:val="00CF24B5"/>
    <w:rsid w:val="00D03F9B"/>
    <w:rsid w:val="00E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96" w:right="851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"/>
      <w:ind w:left="33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8"/>
      <w:ind w:left="6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8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0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0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0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00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F1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1155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- 20170516 CPRA Bill 2017 Att 5 Proactive Release.docx</vt:lpstr>
    </vt:vector>
  </TitlesOfParts>
  <Company/>
  <LinksUpToDate>false</LinksUpToDate>
  <CharactersWithSpaces>1345</CharactersWithSpaces>
  <SharedDoc>false</SharedDoc>
  <HyperlinkBase>https://www.cabinet.qld.gov.au/documents/2017/Jul/CPRBill/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8</cp:revision>
  <dcterms:created xsi:type="dcterms:W3CDTF">2017-09-07T08:34:00Z</dcterms:created>
  <dcterms:modified xsi:type="dcterms:W3CDTF">2018-04-27T01:27:00Z</dcterms:modified>
  <cp:category>Child_Protection,Legislation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2017-05-24T00:00:00Z</vt:filetime>
  </property>
</Properties>
</file>